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rFonts w:ascii="Roboto" w:cs="Roboto" w:eastAsia="Roboto" w:hAnsi="Roboto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10 Things About Great Stories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spacing w:after="200" w:before="200" w:lineRule="auto"/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Great stories feel true. They aren’t just factually true, they are consistent and authentic.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after="200" w:before="200" w:lineRule="auto"/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Great stories make a promise. The promise is bold and audacious or it’s just not worth listening to.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after="200" w:before="200" w:lineRule="auto"/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Great stories are told by trusted voices, otherwise, it’s just marketing.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after="200" w:before="200" w:lineRule="auto"/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Great stories are subtle. Rather than filling in all the details, great stories leave much to the imagination.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200" w:before="200" w:lineRule="auto"/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Great stories happen fast and match the worldview of the listener.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200" w:before="200" w:lineRule="auto"/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Great stories appeal less to logic than they do to our senses.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200" w:before="200" w:lineRule="auto"/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Great stories are rarely aimed at everyone. If you water down your story to appeal to everyone it will appeal to no one.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200" w:before="200" w:lineRule="auto"/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Great stories don’t contradict themselves.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200" w:before="200" w:lineRule="auto"/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Great stories agree with our worldview. The best stories don’t teach us anything new.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200" w:before="200" w:lineRule="auto"/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Great stories appeal to wants, not needs.</w:t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Question or comment? Email Major Gifts Fundraiser’s Chief Fundraising Coach Clark Vandeventer at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clark@majorgiftsfundraiser.com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For more fundraising tips, listen to the Major Gifts Fundraiser podcast on your favorite podcast platform. Just search “Major Gifts Fundraiser.”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>
        <w:rFonts w:ascii="Roboto" w:cs="Roboto" w:eastAsia="Roboto" w:hAnsi="Roboto"/>
        <w:color w:val="b7b7b7"/>
      </w:rPr>
    </w:pPr>
    <w:r w:rsidDel="00000000" w:rsidR="00000000" w:rsidRPr="00000000">
      <w:rPr>
        <w:rtl w:val="0"/>
      </w:rPr>
      <w:br w:type="textWrapping"/>
    </w:r>
    <w:r w:rsidDel="00000000" w:rsidR="00000000" w:rsidRPr="00000000">
      <w:rPr>
        <w:rFonts w:ascii="Roboto" w:cs="Roboto" w:eastAsia="Roboto" w:hAnsi="Roboto"/>
        <w:color w:val="b7b7b7"/>
        <w:rtl w:val="0"/>
      </w:rPr>
      <w:t xml:space="preserve">Major Gifts Fundraiser Inc. </w:t>
      <w:tab/>
      <w:t xml:space="preserve">                                                                </w:t>
    </w:r>
    <w:hyperlink r:id="rId1">
      <w:r w:rsidDel="00000000" w:rsidR="00000000" w:rsidRPr="00000000">
        <w:rPr>
          <w:rFonts w:ascii="Roboto" w:cs="Roboto" w:eastAsia="Roboto" w:hAnsi="Roboto"/>
          <w:color w:val="b7b7b7"/>
          <w:u w:val="single"/>
          <w:rtl w:val="0"/>
        </w:rPr>
        <w:t xml:space="preserve">MajorGiftsFundraiser.com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  <w:t xml:space="preserve">Clark Vandeventer                                                                                 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MajorGiftsFundraiser.com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Fonts w:ascii="Roboto" w:cs="Roboto" w:eastAsia="Roboto" w:hAnsi="Roboto"/>
        <w:color w:val="b7b7b7"/>
        <w:rtl w:val="0"/>
      </w:rPr>
      <w:t xml:space="preserve">                                                                                                              </w:t>
      <w:tab/>
      <w:tab/>
    </w:r>
    <w:r w:rsidDel="00000000" w:rsidR="00000000" w:rsidRPr="00000000">
      <w:rPr/>
      <w:drawing>
        <wp:anchor allowOverlap="1" behindDoc="0" distB="57150" distT="57150" distL="57150" distR="57150" hidden="0" layoutInCell="1" locked="0" relativeHeight="0" simplePos="0">
          <wp:simplePos x="0" y="0"/>
          <wp:positionH relativeFrom="page">
            <wp:posOffset>3238500</wp:posOffset>
          </wp:positionH>
          <wp:positionV relativeFrom="page">
            <wp:posOffset>381000</wp:posOffset>
          </wp:positionV>
          <wp:extent cx="1298448" cy="1298448"/>
          <wp:effectExtent b="0" l="0" r="0" t="0"/>
          <wp:wrapTopAndBottom distB="57150" distT="571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8448" cy="12984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clark@majorgiftsfundraiser.com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ajorgiftsfundraiser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majorgiftsfundraiser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